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ordWrap/>
        <w:spacing w:line="240" w:lineRule="auto"/>
        <w:jc w:val="center"/>
        <w:rPr>
          <w:rFonts w:ascii="Times New Roman" w:hAnsi="Times New Roman" w:eastAsia="黑体" w:cs="Times New Roman"/>
          <w:b w:val="0"/>
          <w:bCs/>
          <w:sz w:val="32"/>
          <w:szCs w:val="30"/>
        </w:rPr>
      </w:pPr>
      <w:bookmarkStart w:id="0" w:name="_GoBack"/>
      <w:r>
        <w:rPr>
          <w:rFonts w:hint="eastAsia" w:ascii="Times New Roman" w:hAnsi="Times New Roman" w:eastAsia="黑体" w:cs="Times New Roman"/>
          <w:b w:val="0"/>
          <w:bCs/>
          <w:sz w:val="32"/>
          <w:szCs w:val="30"/>
        </w:rPr>
        <w:t>新建粤东城际铁路潮州东至潮汕机场段工程</w:t>
      </w:r>
    </w:p>
    <w:p>
      <w:pPr>
        <w:pStyle w:val="4"/>
        <w:wordWrap/>
        <w:spacing w:line="240" w:lineRule="auto"/>
        <w:jc w:val="center"/>
        <w:rPr>
          <w:rFonts w:ascii="Times New Roman" w:hAnsi="Times New Roman" w:eastAsia="黑体" w:cs="Times New Roman"/>
          <w:b w:val="0"/>
          <w:bCs/>
          <w:sz w:val="32"/>
          <w:szCs w:val="30"/>
        </w:rPr>
      </w:pPr>
      <w:r>
        <w:rPr>
          <w:rFonts w:ascii="Times New Roman" w:hAnsi="Times New Roman" w:eastAsia="黑体" w:cs="Times New Roman"/>
          <w:b w:val="0"/>
          <w:bCs/>
          <w:sz w:val="32"/>
          <w:szCs w:val="30"/>
        </w:rPr>
        <w:t>社会稳定风险</w:t>
      </w:r>
      <w:r>
        <w:rPr>
          <w:rFonts w:hint="eastAsia" w:ascii="Times New Roman" w:hAnsi="Times New Roman" w:eastAsia="黑体" w:cs="Times New Roman"/>
          <w:b w:val="0"/>
          <w:bCs/>
          <w:sz w:val="32"/>
          <w:szCs w:val="30"/>
        </w:rPr>
        <w:t>分析</w:t>
      </w:r>
      <w:r>
        <w:rPr>
          <w:rFonts w:ascii="Times New Roman" w:hAnsi="Times New Roman" w:eastAsia="黑体" w:cs="Times New Roman"/>
          <w:b w:val="0"/>
          <w:bCs/>
          <w:sz w:val="32"/>
          <w:szCs w:val="30"/>
        </w:rPr>
        <w:t>公众参与公示</w:t>
      </w:r>
    </w:p>
    <w:bookmarkEnd w:id="0"/>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根据《国家发展改革委关于印发国家发展改革委重大固定资产投资项目社会稳定风险评估暂行办法》（发改投资[2012]2492号）及《国家发展改革委办公厅关于印发重大固定资产投资项目社会稳定风险分析篇章和评估报告编制大纲（试行）》（发改办投资[2013]428号）要求，现将新建粤东城际铁路潮州东至潮汕机场段工程进行社会稳定风险分析进行公示，征求公众对项目建设的意见和建议。</w:t>
      </w:r>
    </w:p>
    <w:p>
      <w:pPr>
        <w:widowControl/>
        <w:spacing w:line="500" w:lineRule="exact"/>
        <w:ind w:firstLine="472" w:firstLineChars="196"/>
        <w:jc w:val="left"/>
        <w:rPr>
          <w:rFonts w:ascii="宋体" w:hAnsi="宋体" w:cs="宋体"/>
          <w:b/>
          <w:kern w:val="0"/>
          <w:sz w:val="24"/>
          <w:szCs w:val="24"/>
        </w:rPr>
      </w:pPr>
      <w:r>
        <w:rPr>
          <w:rFonts w:hint="eastAsia" w:ascii="宋体" w:hAnsi="宋体" w:cs="宋体"/>
          <w:b/>
          <w:kern w:val="0"/>
          <w:sz w:val="24"/>
          <w:szCs w:val="24"/>
        </w:rPr>
        <w:t>一、项目名称及概况</w:t>
      </w:r>
    </w:p>
    <w:p>
      <w:pPr>
        <w:widowControl/>
        <w:spacing w:line="500" w:lineRule="exact"/>
        <w:ind w:firstLine="360" w:firstLineChars="150"/>
        <w:jc w:val="left"/>
        <w:rPr>
          <w:rFonts w:ascii="宋体" w:hAnsi="宋体" w:cs="宋体"/>
          <w:kern w:val="0"/>
          <w:sz w:val="24"/>
          <w:szCs w:val="24"/>
        </w:rPr>
      </w:pPr>
      <w:r>
        <w:rPr>
          <w:rFonts w:hint="eastAsia" w:ascii="宋体" w:hAnsi="宋体" w:cs="宋体"/>
          <w:kern w:val="0"/>
          <w:sz w:val="24"/>
          <w:szCs w:val="24"/>
        </w:rPr>
        <w:t>（一）项目名称</w:t>
      </w:r>
    </w:p>
    <w:p>
      <w:pPr>
        <w:widowControl/>
        <w:spacing w:line="500" w:lineRule="exact"/>
        <w:ind w:firstLine="480" w:firstLineChars="200"/>
        <w:jc w:val="left"/>
        <w:rPr>
          <w:rFonts w:ascii="宋体" w:hAnsi="宋体" w:cs="宋体"/>
          <w:kern w:val="0"/>
          <w:sz w:val="24"/>
          <w:szCs w:val="24"/>
        </w:rPr>
      </w:pPr>
      <w:r>
        <w:rPr>
          <w:rFonts w:hint="eastAsia" w:ascii="宋体" w:hAnsi="宋体" w:cs="宋体"/>
          <w:bCs/>
          <w:kern w:val="0"/>
          <w:sz w:val="24"/>
          <w:szCs w:val="24"/>
        </w:rPr>
        <w:t>新建粤东城际铁路潮州东至潮汕机场段</w:t>
      </w:r>
    </w:p>
    <w:p>
      <w:pPr>
        <w:widowControl/>
        <w:spacing w:line="500" w:lineRule="exact"/>
        <w:ind w:firstLine="360" w:firstLineChars="150"/>
        <w:jc w:val="left"/>
        <w:rPr>
          <w:rFonts w:ascii="宋体" w:hAnsi="宋体" w:cs="宋体"/>
          <w:kern w:val="0"/>
          <w:sz w:val="24"/>
          <w:szCs w:val="24"/>
        </w:rPr>
      </w:pPr>
      <w:r>
        <w:rPr>
          <w:rFonts w:hint="eastAsia" w:ascii="宋体" w:hAnsi="宋体" w:cs="宋体"/>
          <w:kern w:val="0"/>
          <w:sz w:val="24"/>
          <w:szCs w:val="24"/>
        </w:rPr>
        <w:t>（二）项目概况</w:t>
      </w:r>
    </w:p>
    <w:p>
      <w:pPr>
        <w:widowControl/>
        <w:spacing w:line="500" w:lineRule="exact"/>
        <w:ind w:firstLine="470" w:firstLineChars="196"/>
        <w:jc w:val="left"/>
        <w:rPr>
          <w:rFonts w:hint="eastAsia" w:ascii="宋体" w:hAnsi="宋体" w:cs="宋体"/>
          <w:kern w:val="0"/>
          <w:sz w:val="24"/>
          <w:szCs w:val="24"/>
        </w:rPr>
      </w:pPr>
      <w:r>
        <w:rPr>
          <w:rFonts w:hint="eastAsia" w:ascii="宋体" w:hAnsi="宋体" w:cs="宋体"/>
          <w:kern w:val="0"/>
          <w:sz w:val="24"/>
          <w:szCs w:val="24"/>
        </w:rPr>
        <w:t>新建粤东城际铁路潮州东至潮汕机场段线路东起潮州东站，经枫春路、潮汕路，终到登岗线路所。线路途径潮州市湘桥区、潮安区和揭阳市榕城区。线路全长约25km；全线共设5座车站，其中揭阳市1座（潮汕机场），潮州市4座（潮州东、古板头、浮洋、潮汕）。</w:t>
      </w:r>
    </w:p>
    <w:p>
      <w:pPr>
        <w:widowControl/>
        <w:spacing w:line="500" w:lineRule="exact"/>
        <w:ind w:firstLine="472" w:firstLineChars="196"/>
        <w:jc w:val="left"/>
        <w:rPr>
          <w:rFonts w:ascii="宋体" w:hAnsi="宋体" w:cs="宋体"/>
          <w:b/>
          <w:bCs/>
          <w:kern w:val="0"/>
          <w:sz w:val="24"/>
          <w:szCs w:val="24"/>
        </w:rPr>
      </w:pPr>
      <w:r>
        <w:rPr>
          <w:rFonts w:hint="eastAsia" w:ascii="宋体" w:hAnsi="宋体" w:cs="宋体"/>
          <w:b/>
          <w:kern w:val="0"/>
          <w:sz w:val="24"/>
          <w:szCs w:val="24"/>
        </w:rPr>
        <w:t>二、</w:t>
      </w:r>
      <w:r>
        <w:rPr>
          <w:rFonts w:hint="eastAsia" w:ascii="宋体" w:hAnsi="宋体" w:cs="宋体"/>
          <w:b/>
          <w:bCs/>
          <w:kern w:val="0"/>
          <w:sz w:val="24"/>
          <w:szCs w:val="24"/>
        </w:rPr>
        <w:t>社会稳定风险分析的主要内容</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对新建粤东城际铁路潮州东至潮汕机场段建设可能引起社会风险因素进行分析。针对规划的合法性（政策规划和审批程序）；合理性（征地拆迁及补偿、生态环境、噪声振动、文物、电磁辐射及交通拥堵等）、可行性（规划方案、建设条件和建设时机）、可控性（运营安全、社会舆论）四个方面进行规划“风险调查、风险识别、风险估计、风险防范和化解措施、风险等级综合评判、风险结论”逐层分析。</w:t>
      </w:r>
    </w:p>
    <w:p>
      <w:pPr>
        <w:widowControl/>
        <w:spacing w:line="500" w:lineRule="exact"/>
        <w:ind w:firstLine="472" w:firstLineChars="196"/>
        <w:jc w:val="left"/>
        <w:rPr>
          <w:rFonts w:ascii="宋体" w:hAnsi="宋体" w:cs="宋体"/>
          <w:b/>
          <w:bCs/>
          <w:kern w:val="0"/>
          <w:sz w:val="24"/>
          <w:szCs w:val="24"/>
        </w:rPr>
      </w:pPr>
      <w:r>
        <w:rPr>
          <w:rFonts w:hint="eastAsia" w:ascii="宋体" w:hAnsi="宋体" w:cs="宋体"/>
          <w:b/>
          <w:bCs/>
          <w:kern w:val="0"/>
          <w:sz w:val="24"/>
          <w:szCs w:val="24"/>
        </w:rPr>
        <w:t>三、征求公众意见的范围和主要事项</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（一）征求公众意见的范围</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规划线路两侧影响范围内的居民、商铺及企事业单位。</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（二）征求公众意见的主要事项</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1、公众对该建设方案实施的态度；</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2、该建设方案实施对当地经济发展和交通出行的作用；</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3、该建设方案实施对当地社会稳定有何主要风险；</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4、公众的其他意见和建议。</w:t>
      </w:r>
    </w:p>
    <w:p>
      <w:pPr>
        <w:widowControl/>
        <w:spacing w:line="500" w:lineRule="exact"/>
        <w:ind w:firstLine="472" w:firstLineChars="196"/>
        <w:jc w:val="left"/>
        <w:rPr>
          <w:rFonts w:ascii="宋体" w:hAnsi="宋体" w:cs="宋体"/>
          <w:kern w:val="0"/>
          <w:sz w:val="24"/>
          <w:szCs w:val="24"/>
        </w:rPr>
      </w:pPr>
      <w:r>
        <w:rPr>
          <w:rFonts w:hint="eastAsia" w:ascii="宋体" w:hAnsi="宋体" w:cs="宋体"/>
          <w:b/>
          <w:bCs/>
          <w:kern w:val="0"/>
          <w:sz w:val="24"/>
          <w:szCs w:val="24"/>
        </w:rPr>
        <w:t>四、公众参与主要方式</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即日起，公众可通过电子邮件、信函、电话等方式向建设单位、社稳分析单位发表对项目建设社会稳定风险方面的意见和建议。</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23"/>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vMerge w:val="restar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单位名称</w:t>
            </w: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咨询单位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vMerge w:val="continue"/>
            <w:shd w:val="clear" w:color="auto" w:fill="auto"/>
            <w:vAlign w:val="center"/>
          </w:tcPr>
          <w:p>
            <w:pPr>
              <w:topLinePunct/>
              <w:snapToGrid w:val="0"/>
              <w:jc w:val="center"/>
              <w:rPr>
                <w:rFonts w:ascii="Times New Roman" w:hAnsi="Times New Roman"/>
                <w:sz w:val="20"/>
                <w:szCs w:val="20"/>
              </w:rPr>
            </w:pP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中铁工程设计咨询集团有限公司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地址</w:t>
            </w: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北京市丰台区广安路15号</w:t>
            </w:r>
          </w:p>
          <w:p>
            <w:pPr>
              <w:topLinePunct/>
              <w:snapToGrid w:val="0"/>
              <w:jc w:val="center"/>
              <w:rPr>
                <w:rFonts w:ascii="Times New Roman" w:hAnsi="Times New Roman"/>
                <w:sz w:val="20"/>
                <w:szCs w:val="20"/>
              </w:rPr>
            </w:pPr>
            <w:r>
              <w:rPr>
                <w:rFonts w:ascii="Times New Roman" w:hAnsi="Times New Roman"/>
                <w:sz w:val="20"/>
                <w:szCs w:val="20"/>
              </w:rPr>
              <w:t>中铁咨询大厦</w:t>
            </w:r>
            <w:r>
              <w:rPr>
                <w:rFonts w:hint="eastAsia" w:ascii="Times New Roman" w:hAnsi="Times New Roman"/>
                <w:sz w:val="20"/>
                <w:szCs w:val="20"/>
              </w:rPr>
              <w:t>905</w:t>
            </w:r>
            <w:r>
              <w:rPr>
                <w:rFonts w:ascii="Times New Roman" w:hAnsi="Times New Roman"/>
                <w:sz w:val="20"/>
                <w:szCs w:val="20"/>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hint="eastAsia" w:ascii="Times New Roman" w:hAnsi="Times New Roman"/>
                <w:sz w:val="20"/>
                <w:szCs w:val="20"/>
              </w:rPr>
              <w:t>邮编</w:t>
            </w:r>
          </w:p>
        </w:tc>
        <w:tc>
          <w:tcPr>
            <w:tcW w:w="3483" w:type="pct"/>
            <w:shd w:val="clear" w:color="auto" w:fill="auto"/>
            <w:vAlign w:val="center"/>
          </w:tcPr>
          <w:p>
            <w:pPr>
              <w:topLinePunct/>
              <w:snapToGrid w:val="0"/>
              <w:jc w:val="center"/>
              <w:rPr>
                <w:rFonts w:ascii="Times New Roman" w:hAnsi="Times New Roman"/>
                <w:sz w:val="20"/>
                <w:szCs w:val="20"/>
              </w:rPr>
            </w:pPr>
            <w:r>
              <w:rPr>
                <w:rFonts w:hint="eastAsia" w:ascii="Times New Roman" w:hAnsi="Times New Roman"/>
                <w:sz w:val="20"/>
                <w:szCs w:val="20"/>
              </w:rPr>
              <w:t>100055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联系人</w:t>
            </w:r>
          </w:p>
        </w:tc>
        <w:tc>
          <w:tcPr>
            <w:tcW w:w="3483" w:type="pct"/>
            <w:shd w:val="clear" w:color="auto" w:fill="auto"/>
            <w:vAlign w:val="center"/>
          </w:tcPr>
          <w:p>
            <w:pPr>
              <w:topLinePunct/>
              <w:snapToGrid w:val="0"/>
              <w:jc w:val="center"/>
              <w:rPr>
                <w:rFonts w:ascii="Times New Roman" w:hAnsi="Times New Roman"/>
                <w:sz w:val="20"/>
                <w:szCs w:val="20"/>
              </w:rPr>
            </w:pPr>
            <w:r>
              <w:rPr>
                <w:rFonts w:hint="eastAsia" w:ascii="Times New Roman" w:hAnsi="Times New Roman"/>
                <w:sz w:val="20"/>
                <w:szCs w:val="20"/>
              </w:rPr>
              <w:t>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联系电话</w:t>
            </w: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kern w:val="0"/>
                <w:sz w:val="20"/>
                <w:szCs w:val="20"/>
              </w:rPr>
              <w:t>010-5269</w:t>
            </w:r>
            <w:r>
              <w:rPr>
                <w:rFonts w:hint="eastAsia" w:ascii="Times New Roman" w:hAnsi="Times New Roman"/>
                <w:kern w:val="0"/>
                <w:sz w:val="20"/>
                <w:szCs w:val="20"/>
              </w:rPr>
              <w:t>65</w:t>
            </w:r>
            <w:r>
              <w:rPr>
                <w:rFonts w:ascii="Times New Roman" w:hAnsi="Times New Roman"/>
                <w:kern w:val="0"/>
                <w:sz w:val="20"/>
                <w:szCs w:val="2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7"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电子邮箱</w:t>
            </w:r>
          </w:p>
        </w:tc>
        <w:tc>
          <w:tcPr>
            <w:tcW w:w="3483" w:type="pct"/>
            <w:shd w:val="clear" w:color="auto" w:fill="auto"/>
            <w:vAlign w:val="center"/>
          </w:tcPr>
          <w:p>
            <w:pPr>
              <w:topLinePunct/>
              <w:snapToGrid w:val="0"/>
              <w:jc w:val="center"/>
              <w:rPr>
                <w:rFonts w:ascii="Times New Roman" w:hAnsi="Times New Roman"/>
                <w:sz w:val="20"/>
                <w:szCs w:val="20"/>
              </w:rPr>
            </w:pPr>
            <w:r>
              <w:rPr>
                <w:rFonts w:ascii="Times New Roman" w:hAnsi="Times New Roman"/>
                <w:sz w:val="20"/>
                <w:szCs w:val="20"/>
              </w:rPr>
              <w:t>gaowj223@qq.com</w:t>
            </w:r>
          </w:p>
        </w:tc>
      </w:tr>
    </w:tbl>
    <w:p>
      <w:pPr>
        <w:widowControl/>
        <w:spacing w:line="500" w:lineRule="exact"/>
        <w:ind w:firstLine="472" w:firstLineChars="196"/>
        <w:jc w:val="left"/>
        <w:rPr>
          <w:rFonts w:ascii="宋体" w:hAnsi="宋体" w:cs="宋体"/>
          <w:kern w:val="0"/>
          <w:sz w:val="24"/>
          <w:szCs w:val="24"/>
        </w:rPr>
      </w:pPr>
      <w:r>
        <w:rPr>
          <w:rFonts w:hint="eastAsia" w:ascii="宋体" w:hAnsi="宋体" w:cs="宋体"/>
          <w:b/>
          <w:bCs/>
          <w:kern w:val="0"/>
          <w:sz w:val="24"/>
          <w:szCs w:val="24"/>
        </w:rPr>
        <w:t>五、信息发布有效期限</w:t>
      </w:r>
      <w:r>
        <w:rPr>
          <w:rFonts w:hint="eastAsia" w:ascii="宋体" w:hAnsi="宋体" w:cs="宋体"/>
          <w:b/>
          <w:bCs/>
          <w:kern w:val="0"/>
          <w:sz w:val="24"/>
          <w:szCs w:val="24"/>
        </w:rPr>
        <w:br w:type="textWrapping"/>
      </w:r>
      <w:r>
        <w:rPr>
          <w:rFonts w:hint="eastAsia" w:ascii="宋体" w:hAnsi="宋体" w:cs="宋体"/>
          <w:kern w:val="0"/>
          <w:sz w:val="24"/>
          <w:szCs w:val="24"/>
        </w:rPr>
        <w:t>　　自本公示登出后十个工作日内。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C37BC"/>
    <w:rsid w:val="665C3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环小四表题"/>
    <w:basedOn w:val="1"/>
    <w:qFormat/>
    <w:uiPriority w:val="0"/>
    <w:pPr>
      <w:wordWrap w:val="0"/>
      <w:spacing w:line="400" w:lineRule="exact"/>
      <w:jc w:val="right"/>
    </w:pPr>
    <w:rPr>
      <w:rFonts w:ascii="宋体" w:cs="黑体"/>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2021-01-26T03:05:00Z</dcterms:created>
  <dc:creator>user</dc:creator>
  <cp:lastModifiedBy>user</cp:lastModifiedBy>
  <dcterms:modified xsi:type="dcterms:W3CDTF">2021-01-26T03:06:21Z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